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80" w:before="100" w:line="240" w:lineRule="auto"/>
        <w:contextualSpacing w:val="0"/>
        <w:rPr>
          <w:rFonts w:ascii="Arial" w:cs="Arial" w:eastAsia="Arial" w:hAnsi="Arial"/>
          <w:color w:val="00000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80"/>
          <w:sz w:val="36"/>
          <w:szCs w:val="36"/>
          <w:rtl w:val="0"/>
        </w:rPr>
        <w:t xml:space="preserve">Статья 333.40.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 Основания и порядок возврата или зачета государственной пошлины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См. </w:t>
      </w:r>
      <w:hyperlink r:id="rId5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u w:val="single"/>
            <w:rtl w:val="0"/>
          </w:rPr>
          <w:t xml:space="preserve">Энциклопедии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и другие </w:t>
      </w:r>
      <w:hyperlink r:id="rId6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u w:val="single"/>
            <w:rtl w:val="0"/>
          </w:rPr>
          <w:t xml:space="preserve">комментарии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к статье 333.40 НК РФ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О конституционно-правовом смысле пункта 1 статьи 333.40 настоящего Кодекса см. 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u w:val="single"/>
            <w:rtl w:val="0"/>
          </w:rPr>
          <w:t xml:space="preserve">Постановление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Конституционного Суда РФ от 23 мая 2013 г. N 11-П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 Уплаченная государственная пошлина подлежит возврату частично или полностью в случае: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уплаты государственной пошлины в большем размере, чем это предусмотрено настоящей главой;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возвращения заявления, жалобы или иного обращения или отказа в их принятии судами либо отказа в совершении нотариальных действий уполномоченными на то органами и (или) должностными лицами. Если государственная пошлина не возвращена, ее сумма засчитывается в счет уплаты государственной пошлины при повторном предъявлении иска, если не истек трехгодичный срок со дня вынесения предыдущего решения и к повторному иску приложен первоначальный документ об уплате государственной пошлины;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Информация об изменениях: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Федеральным законом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от 28 июня 2014 г. N 198-ФЗ подпункт 3 пункта 1 статьи 333.40 настоящего Кодекса изложен в новой редакции, </w:t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вступающей в силу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по истечении ста восьмидесяти дней после дня </w:t>
      </w:r>
      <w:hyperlink r:id="rId10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вступления в силу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Закона РФ о поправке к </w:t>
      </w:r>
      <w:hyperlink r:id="rId11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Конституции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РФ от 5 февраля 2014 г. N 2-ФКЗ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hyperlink r:id="rId12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См. текст подпункта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прекращения производства по делу или оставления заявления без рассмотрения Верховным Судом Российской Федерации, судами общей юрисдикции или арбитражными судами.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При заключении мирового соглашения до принятия решения Верховным Судом Российской Федерации, арбитражными судами возврату истцу подлежит 50 процентов суммы уплаченной им государственной пошлины. Данное положение не применяется в случае, если мировое соглашение заключено в процессе исполнения судебного акта.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Не подлежит возврату уплаченная государственная пошлина при добровольном удовлетворении ответчиком требований истца после обращения последнего в Верховный Суд Российской Федерации, арбитражный суд и вынесения определения о принятии искового заявления к производству, а также при утверждении мирового соглашения Верховным Судом Российской Федерации, судом общей юрисдикции;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5) отказа в выдаче паспорта гражданина Российской Федерации для выезда из Российской Федерации и въезда в Российскую Федерацию, удостоверяющего в случаях, предусмотренных </w:t>
      </w:r>
      <w:hyperlink r:id="rId13">
        <w:r w:rsidDel="00000000" w:rsidR="00000000" w:rsidRPr="00000000">
          <w:rPr>
            <w:rFonts w:ascii="Arial" w:cs="Arial" w:eastAsia="Arial" w:hAnsi="Arial"/>
            <w:color w:val="008000"/>
            <w:sz w:val="24"/>
            <w:szCs w:val="24"/>
            <w:rtl w:val="0"/>
          </w:rPr>
          <w:t xml:space="preserve">законодательством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личность гражданина Российской Федерации за пределами территории Российской Федерации и на территории Российской Федерации, проездного документа беженца;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Информация об изменениях: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hyperlink r:id="rId14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Федеральным законом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от 27 декабря 2009 г. N 374-ФЗ пункт 1 статьи 333.40 настоящего Кодекса дополнен подпунктом 6, </w:t>
      </w:r>
      <w:hyperlink r:id="rId15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вступающим в силу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по истечении одного месяца со дня </w:t>
      </w:r>
      <w:hyperlink r:id="rId16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официального опубликования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названного Федерального закона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6) направления заявителю уведомления о принятии его заявления об отзыве заявки на государственную регистрацию программы для ЭВМ, базы данных и топологии интегральной микросхемы до даты регистрации (в отношении государственной пошлины, предусмотренной </w:t>
      </w:r>
      <w:hyperlink r:id="rId17">
        <w:r w:rsidDel="00000000" w:rsidR="00000000" w:rsidRPr="00000000">
          <w:rPr>
            <w:rFonts w:ascii="Arial" w:cs="Arial" w:eastAsia="Arial" w:hAnsi="Arial"/>
            <w:color w:val="008000"/>
            <w:sz w:val="24"/>
            <w:szCs w:val="24"/>
            <w:rtl w:val="0"/>
          </w:rPr>
          <w:t xml:space="preserve">пунктом 1 статьи 330.30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настоящего Кодекса).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Информация об изменениях: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hyperlink r:id="rId18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Федеральным законом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от 27 декабря 2009 г. N 374-ФЗ в пункт 2 статьи 333.40 настоящего Кодекса внесены изменения, </w:t>
      </w:r>
      <w:hyperlink r:id="rId19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вступающие в силу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по истечении одного месяца со дня </w:t>
      </w:r>
      <w:hyperlink r:id="rId20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официального опубликования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названного Федерального закона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hyperlink r:id="rId21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 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Информация об изменениях: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hyperlink r:id="rId22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Федеральным законом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от 28 июня 2014 г. N 198-ФЗ в пункт 3 статьи 333.40 настоящего Кодекса внесены изменения, </w:t>
      </w:r>
      <w:hyperlink r:id="rId23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вступающие в силу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по истечении ста восьмидесяти дней после дня </w:t>
      </w:r>
      <w:hyperlink r:id="rId24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вступления в силу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Закона РФ о поправке к </w:t>
      </w:r>
      <w:hyperlink r:id="rId25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Конституции</w:t>
        </w:r>
      </w:hyperlink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 РФ от 5 февраля 2014 г. N 2-ФКЗ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hyperlink r:id="rId26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См. текст пункта в предыдущей редакции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 Заявление о возврате излишне уплаченной (взысканной) суммы государственной пошлины подается плательщиком государственной пошлины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К заявлению о возврате излишне уплаченной (взысканной) суммы государственной пошлины прилагаются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Решение о возврате плательщику излишне уплаченной (взысканной) суммы государственной пошлины принимает орган (должностное лицо), осуществляющий действия, за которые уплачена (взыскана) государственная пошлина.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Возврат излишне уплаченной (взысканной) суммы государственной пошлины осуществляется органом Федерального казначейства.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Заявление о возврате излишне уплаченной (взысканной) суммы государственной пошлины по делам, рассматриваемым в судах, а также мировыми судьями, подается плательщиком государственной пошлины в налоговый орган по месту нахождения суда, в котором рассматривалось дело.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К заявлению о возврате излишне уплаченной (взысканной) суммы государственной пошлины по делам, рассматриваемым судами общей юрисдикции, арбитражными судами, Верховным Судом Российской Федерации, Конституционным Судом Российской Федерации и конституционными (уставными) судами субъектов Российской Федерации, мировыми судьями, прилагаются решения, определения и справки судов об обстоятельствах, являющихся основанием для полного или частичного возврата излишне уплаченной (взысканной) суммы государственной пошлины, а также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Заявление о возврате излишне уплаченной (взысканной) суммы государственной пошлины может быть подано в течение трех лет со дня уплаты указанной суммы.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Возврат излишне уплаченной (взысканной) суммы государственной пошлины производится в течение одного месяца со дня подачи указанного заявления о возврате.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 Не подлежит возврату государственная пошлина, уплаченная за государственную регистрацию прав, ограничений (обременении) прав на недвижимое имущество, сделок с ним, в случае отказа в государственной регистрации.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Редакции Налогового кодекса (часть вторая), опубликованные в "Собрании законодательства Российской Федерации" и "Российской газете", имеют расхождения. Текст предыдущего абзаца приводится в редакции "Собрания законодательства"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hyperlink r:id="rId27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u w:val="single"/>
            <w:rtl w:val="0"/>
          </w:rPr>
          <w:t xml:space="preserve">См. текст абзаца в редакции "Российской газеты"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5. </w:t>
      </w:r>
      <w:hyperlink r:id="rId28">
        <w:r w:rsidDel="00000000" w:rsidR="00000000" w:rsidRPr="00000000">
          <w:rPr>
            <w:rFonts w:ascii="Arial" w:cs="Arial" w:eastAsia="Arial" w:hAnsi="Arial"/>
            <w:color w:val="008000"/>
            <w:sz w:val="24"/>
            <w:szCs w:val="24"/>
            <w:rtl w:val="0"/>
          </w:rPr>
          <w:t xml:space="preserve">Утратил силу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с 1 января 2007 г.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Информация об изменениях: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8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800080"/>
          <w:sz w:val="24"/>
          <w:szCs w:val="24"/>
          <w:rtl w:val="0"/>
        </w:rPr>
        <w:t xml:space="preserve">См. текст </w:t>
      </w:r>
      <w:hyperlink r:id="rId29">
        <w:r w:rsidDel="00000000" w:rsidR="00000000" w:rsidRPr="00000000">
          <w:rPr>
            <w:rFonts w:ascii="Arial" w:cs="Arial" w:eastAsia="Arial" w:hAnsi="Arial"/>
            <w:i w:val="1"/>
            <w:color w:val="008000"/>
            <w:sz w:val="24"/>
            <w:szCs w:val="24"/>
            <w:rtl w:val="0"/>
          </w:rPr>
          <w:t xml:space="preserve">пункта 5 статьи 333.40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hyperlink r:id="rId30">
        <w:r w:rsidDel="00000000" w:rsidR="00000000" w:rsidRPr="00000000">
          <w:rPr>
            <w:rFonts w:ascii="Arial" w:cs="Arial" w:eastAsia="Arial" w:hAnsi="Arial"/>
            <w:color w:val="008000"/>
            <w:sz w:val="24"/>
            <w:szCs w:val="24"/>
            <w:rtl w:val="0"/>
          </w:rPr>
          <w:t xml:space="preserve">6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Плательщик государственной пошлины имеет право на зачет излишне уплаченной (взысканной) суммы государственной пошлины в счет суммы государственной пошлины, подлежащей уплате за совершение аналогичного действия.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Указанный зачет производится по заявлению плательщика, предъявленному в уполномоченный орган (должностному лицу), в который (к которому) он обращался за совершением юридически значимого действия. Заявление о зачете суммы излишне уплаченной (взысканной) государственной пошлины может быть подано в течение трех лет со дня принятия соответствующего решения суда о возврате государственной пошлины из бюджета или со дня уплаты этой суммы в бюджет. К заявлению о зачете суммы излишне уплаченной (взысканной) государственной пошлины прилагаются: решения, определения и справки судов, органов и (или) должностных лиц, осуществляющих действия, за которые уплачивается государственная пошлина, об обстоятельствах, являющихся основанием для полного возврата государственной пошлины, а также платежные поручения или квитанции с подлинной отметкой банка, подтверждающие уплату государственной пошлины.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ind w:firstLine="72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7. Возврат или зачет излишне уплаченных (взысканных) сумм государственной пошлины производится в порядке, установленном </w:t>
      </w:r>
      <w:hyperlink r:id="rId31">
        <w:r w:rsidDel="00000000" w:rsidR="00000000" w:rsidRPr="00000000">
          <w:rPr>
            <w:rFonts w:ascii="Arial" w:cs="Arial" w:eastAsia="Arial" w:hAnsi="Arial"/>
            <w:color w:val="008000"/>
            <w:sz w:val="24"/>
            <w:szCs w:val="24"/>
            <w:rtl w:val="0"/>
          </w:rPr>
          <w:t xml:space="preserve">главой 12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настоящего Кодекса.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base.garant.ru/12271902/" TargetMode="External"/><Relationship Id="rId22" Type="http://schemas.openxmlformats.org/officeDocument/2006/relationships/hyperlink" Target="http://base.garant.ru/70684712/#block_2102" TargetMode="External"/><Relationship Id="rId21" Type="http://schemas.openxmlformats.org/officeDocument/2006/relationships/hyperlink" Target="http://base.garant.ru/5432870/#block_333402" TargetMode="External"/><Relationship Id="rId24" Type="http://schemas.openxmlformats.org/officeDocument/2006/relationships/hyperlink" Target="http://base.garant.ru/70583581/" TargetMode="External"/><Relationship Id="rId23" Type="http://schemas.openxmlformats.org/officeDocument/2006/relationships/hyperlink" Target="http://base.garant.ru/70684712/#block_3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base.garant.ru/70684712/#block_3" TargetMode="External"/><Relationship Id="rId26" Type="http://schemas.openxmlformats.org/officeDocument/2006/relationships/hyperlink" Target="http://base.garant.ru/57747019/#block_333403" TargetMode="External"/><Relationship Id="rId25" Type="http://schemas.openxmlformats.org/officeDocument/2006/relationships/hyperlink" Target="http://base.garant.ru/10103000/" TargetMode="External"/><Relationship Id="rId28" Type="http://schemas.openxmlformats.org/officeDocument/2006/relationships/hyperlink" Target="http://base.garant.ru/12148554/#block_2472" TargetMode="External"/><Relationship Id="rId27" Type="http://schemas.openxmlformats.org/officeDocument/2006/relationships/hyperlink" Target="http://base.garant.ru/108065/#block_333404" TargetMode="External"/><Relationship Id="rId5" Type="http://schemas.openxmlformats.org/officeDocument/2006/relationships/hyperlink" Target="http://base.garant.ru/57590020/" TargetMode="External"/><Relationship Id="rId6" Type="http://schemas.openxmlformats.org/officeDocument/2006/relationships/hyperlink" Target="http://base.garant.ru/3921846/#block_33340" TargetMode="External"/><Relationship Id="rId29" Type="http://schemas.openxmlformats.org/officeDocument/2006/relationships/hyperlink" Target="http://base.garant.ru/5167863/28/#block_333405" TargetMode="External"/><Relationship Id="rId7" Type="http://schemas.openxmlformats.org/officeDocument/2006/relationships/hyperlink" Target="http://base.garant.ru/70383326/#block_111" TargetMode="External"/><Relationship Id="rId8" Type="http://schemas.openxmlformats.org/officeDocument/2006/relationships/hyperlink" Target="http://base.garant.ru/70684712/#block_210" TargetMode="External"/><Relationship Id="rId31" Type="http://schemas.openxmlformats.org/officeDocument/2006/relationships/hyperlink" Target="http://base.garant.ru/10900200/16/#block_20012" TargetMode="External"/><Relationship Id="rId30" Type="http://schemas.openxmlformats.org/officeDocument/2006/relationships/hyperlink" Target="http://base.garant.ru/12140445/#block_19" TargetMode="External"/><Relationship Id="rId11" Type="http://schemas.openxmlformats.org/officeDocument/2006/relationships/hyperlink" Target="http://base.garant.ru/10103000/" TargetMode="External"/><Relationship Id="rId10" Type="http://schemas.openxmlformats.org/officeDocument/2006/relationships/hyperlink" Target="http://base.garant.ru/70583581/" TargetMode="External"/><Relationship Id="rId13" Type="http://schemas.openxmlformats.org/officeDocument/2006/relationships/hyperlink" Target="http://base.garant.ru/184539/1/#block_10" TargetMode="External"/><Relationship Id="rId12" Type="http://schemas.openxmlformats.org/officeDocument/2006/relationships/hyperlink" Target="http://base.garant.ru/57747019/#block_33340103" TargetMode="External"/><Relationship Id="rId15" Type="http://schemas.openxmlformats.org/officeDocument/2006/relationships/hyperlink" Target="http://base.garant.ru/12171902/#block_281" TargetMode="External"/><Relationship Id="rId14" Type="http://schemas.openxmlformats.org/officeDocument/2006/relationships/hyperlink" Target="http://base.garant.ru/12171902/#block_215" TargetMode="External"/><Relationship Id="rId17" Type="http://schemas.openxmlformats.org/officeDocument/2006/relationships/hyperlink" Target="http://base.garant.ru/10900200/40/#block_333301" TargetMode="External"/><Relationship Id="rId16" Type="http://schemas.openxmlformats.org/officeDocument/2006/relationships/hyperlink" Target="http://base.garant.ru/12271902/" TargetMode="External"/><Relationship Id="rId19" Type="http://schemas.openxmlformats.org/officeDocument/2006/relationships/hyperlink" Target="http://base.garant.ru/12171902/#block_281" TargetMode="External"/><Relationship Id="rId18" Type="http://schemas.openxmlformats.org/officeDocument/2006/relationships/hyperlink" Target="http://base.garant.ru/12171902/#block_2152" TargetMode="External"/></Relationships>
</file>